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徐州工程学院科研经费问题专项整治</w:t>
      </w:r>
    </w:p>
    <w:p w14:paraId="0B7E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工作方案</w:t>
      </w:r>
    </w:p>
    <w:p w14:paraId="2A37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</w:p>
    <w:p w14:paraId="01B9F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为深入贯彻落实二十届中央纪委五次全会、十四届省纪委六次全会、十三届市纪委六次全会精神，严格落实教育部、省教育厅、市教育局关于教育领域腐败整治工作部署要求，扎实推进我校深化教育领域腐败整治专项行动，靶向整治科研经费领域问题，根据《徐州工程学院开展深化教育领域腐败整治工作方案》（徐工院委发〔2026〕22号）文件精神，结合我校科研经费领域实际情况，制定本方案。</w:t>
      </w:r>
    </w:p>
    <w:p w14:paraId="5CD5F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  <w:t>一、工作目标</w:t>
      </w:r>
    </w:p>
    <w:p w14:paraId="373A0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（一）突出问题有效遏制</w:t>
      </w:r>
    </w:p>
    <w:p w14:paraId="5405A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聚焦科研经费重点领域，持续开展滚动排查与集中整治，坚决纠正虚构业务套取经费、拆分支出规避监管、关联交易利益输送等各类不正之风，严肃查处科研经费使用中的违纪违法行为。</w:t>
      </w:r>
    </w:p>
    <w:p w14:paraId="3C2B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（二）制度机制健全完善</w:t>
      </w:r>
    </w:p>
    <w:p w14:paraId="24B97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针对科研经费整治工作中发现的管理漏洞、流程短板，深入剖析问题成因，及时落实“废改立释”相关制度建设工作。建立健全科学规范、系统完备、运行有效的科研经费管理、项目内控、风险防控制度体系。</w:t>
      </w:r>
    </w:p>
    <w:p w14:paraId="5896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（三）治理水平显著提升</w:t>
      </w:r>
    </w:p>
    <w:p w14:paraId="782E4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以本次科研经费专项整治为契机，不断完善科研领域内部治理架构，强化经费全流程监督管理效能，规范项目申报、经费审批、外协采购、结题审计等权力运行流程，提升科研廉政风险防控能力，构建科研经费腐败防治长效治理机制。</w:t>
      </w:r>
    </w:p>
    <w:p w14:paraId="1417B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  <w:t>二、工作小组成员</w:t>
      </w:r>
    </w:p>
    <w:p w14:paraId="35EB4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组  长：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陈新忠</w:t>
      </w:r>
    </w:p>
    <w:p w14:paraId="6ED1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副组长：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张连英</w:t>
      </w:r>
    </w:p>
    <w:p w14:paraId="2290B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成  员：王  陶、马  超、王士凡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、牛鸿蕾、唐  华、张萌萌、杨  畅、赵耿昊、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石佳乐、苏彩云、孟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静、袁菁遥</w:t>
      </w:r>
    </w:p>
    <w:p w14:paraId="5A778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  <w:t>三、主要工作任务</w:t>
      </w:r>
    </w:p>
    <w:p w14:paraId="5CE1BE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  <w:t>重点排查科研人员以“真发票、假业务”甚至伪造发票、虚构人员和内容等方式伪造开支明细，套取科研经费，将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  <w:t>科研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  <w:t>经费化整为零，规避监管并搞利益输送、关联交易等问题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  <w:t>推动学校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  <w:t>科研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  <w:t>经费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  <w:t>管理规范有序，进一步完善内部治理体系。</w:t>
      </w:r>
    </w:p>
    <w:p w14:paraId="3A90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  <w:t>四、工作内容与实施步骤</w:t>
      </w:r>
    </w:p>
    <w:p w14:paraId="33A1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（一）动员部署阶段（2026年6月）</w:t>
      </w:r>
    </w:p>
    <w:p w14:paraId="4CD3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结合学校深化教育领域腐败整治总体安排，细化科研经费领域专项整治实施细则，召开科研经费专项整治工作部署会，传达整治工作要求，对专项整治工作进行部署。</w:t>
      </w:r>
    </w:p>
    <w:p w14:paraId="40DF1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（二）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自查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阶段（2026年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6-8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月）</w:t>
      </w:r>
    </w:p>
    <w:p w14:paraId="29970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全校科研人员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全面梳理近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（2024年-2026年）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在研科研项目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，包括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纵向、横向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、科研启动项目等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，开展经费套取与违规支出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自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查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项目负责人自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查近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科研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项目材料费、差旅费、专家咨询费、劳务报酬、设备采购、外协服务费等全部报销凭证，核验业务真实性；比对劳务发放清单与学校人事系统、校外劳务人员佐证材料，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是否存在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虚构人员套取劳务费；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是否存在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私人消费、高档奢侈品等与科研无关发票违规报销行为；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是否存在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大额支出拆分报销、分批支付规避限额审批行为；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是否存在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虚假外协合同转移经费问题。</w:t>
      </w:r>
    </w:p>
    <w:p w14:paraId="1152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（三）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二级学院检查阶段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（2026年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月）</w:t>
      </w:r>
    </w:p>
    <w:p w14:paraId="6D9F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二级学院成立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科研经费问题专项整治工作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专班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分解工作任务、落实责任主体、制定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排查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方案，细化任务节点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全面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梳理学院全体科研人员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近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（2024年-2026年）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在研科研项目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经费报销情况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，开展全流程、全要素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排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查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。</w:t>
      </w:r>
    </w:p>
    <w:p w14:paraId="7CCD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经费套取与违规支出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排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查。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重点检查学院科研人员报销凭证与项目的相关性，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大额支出拆分报销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行为，违规发放劳务费，绩效提取金额是否超出预算等。</w:t>
      </w:r>
    </w:p>
    <w:p w14:paraId="56D17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关联交易与利益输送专项排查。核查科研负责人、项目组成员亲属、利害关系人是否违规承接项目外协、材料供应业务；核查是否通过抬高外协报价、虚假服务、重复支付等方式输送利益。</w:t>
      </w:r>
    </w:p>
    <w:p w14:paraId="1972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3. 总结排查情况。二级学院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逐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项梳理排查存在的问题，列出问题清单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，撰写排查报告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。</w:t>
      </w:r>
    </w:p>
    <w:p w14:paraId="4DCD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学校抽查及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全面总结评估（2026年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10-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月）</w:t>
      </w:r>
    </w:p>
    <w:p w14:paraId="35B6D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科研院将联合财务处，对科研人员科研项目经费报销情况进行抽查，结合二级学院检查情况，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全面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总结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本次科研经费专项整治工作开展情况，梳理整治成效，提炼经验做法，全面评估本次突出问题系统整治的工作情况，对整改不彻底、容易反弹的风险点建立长效复查台账，持续清单管理、对账销号，防止问题反弹回潮，巩固专项整治成效。</w:t>
      </w:r>
    </w:p>
    <w:p w14:paraId="5A1D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）健全长效制度阶段（2026年1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40"/>
          <w:lang w:val="en-US" w:eastAsia="zh-CN"/>
        </w:rPr>
        <w:t>月）</w:t>
      </w:r>
    </w:p>
    <w:p w14:paraId="13BFA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修订与完善科研经费管理与支出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、科研诚信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等相关制度政策，进一步明确项目申报、预算执行、结题审计等环节的规范性条款。</w:t>
      </w:r>
    </w:p>
    <w:p w14:paraId="088BE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  <w:t>五、工作要求</w:t>
      </w:r>
    </w:p>
    <w:p w14:paraId="45070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各责任单位要深刻认识深化教育领域腐败整治的重大意义，将科研经费专项整治作为全面从严治党、推进清廉校园建设重点工作，恪守整治工作纪律，全面摸清科研经费管理、使用各环节廉政风险，精准分类建立问题台账，强化整改实效，持续提升学校科研经费规范化管理水平，护航学校科技创新事业健康有序高质量发展。</w:t>
      </w:r>
    </w:p>
    <w:p w14:paraId="166B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3A344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科学技术研究院</w:t>
      </w:r>
    </w:p>
    <w:p w14:paraId="33A78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2026年6月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D0255"/>
    <w:multiLevelType w:val="singleLevel"/>
    <w:tmpl w:val="C49D0255"/>
    <w:lvl w:ilvl="0" w:tentative="0">
      <w:start w:val="2"/>
      <w:numFmt w:val="chineseCounting"/>
      <w:pStyle w:val="2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C1B26"/>
    <w:rsid w:val="176B0D32"/>
    <w:rsid w:val="1B4D467C"/>
    <w:rsid w:val="1DBB1753"/>
    <w:rsid w:val="1F6B0716"/>
    <w:rsid w:val="28274FB3"/>
    <w:rsid w:val="31FC6424"/>
    <w:rsid w:val="3AD0140D"/>
    <w:rsid w:val="3ECD60F8"/>
    <w:rsid w:val="5CB77867"/>
    <w:rsid w:val="64BF42AA"/>
    <w:rsid w:val="664D29AB"/>
    <w:rsid w:val="6AC756F0"/>
    <w:rsid w:val="738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line="720" w:lineRule="auto"/>
      <w:outlineLvl w:val="0"/>
    </w:pPr>
    <w:rPr>
      <w:rFonts w:ascii="仿宋" w:hAnsi="仿宋" w:cs="仿宋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1742</Words>
  <Characters>1788</Characters>
  <Lines>0</Lines>
  <Paragraphs>0</Paragraphs>
  <TotalTime>10</TotalTime>
  <ScaleCrop>false</ScaleCrop>
  <LinksUpToDate>false</LinksUpToDate>
  <CharactersWithSpaces>1872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2026-06-22T02:03:00Z</dcterms:created>
  <dc:creator>hp</dc:creator>
  <cp:lastModifiedBy>王陶</cp:lastModifiedBy>
  <dcterms:modified xsi:type="dcterms:W3CDTF">2026-06-25T07:11:11Z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eyJoZGlkIjoiNmQzNDZiMDkyYjJlNDA1NTVlNzZhNTVmOTQ0NWUyNjIiLCJ1c2VySWQiOiIxNzY5NTE3Nzk2In0=</vt:lpwstr>
  </property>
  <property fmtid="{D5CDD505-2E9C-101B-9397-08002B2CF9AE}" pid="4" name="ICV">
    <vt:lpwstr>F439408E0CA84991B9DEBF0B9FAA3107_13</vt:lpwstr>
  </property>
</Properties>
</file>